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158800" cy="1663200"/>
            <wp:effectExtent l="0" t="0" r="381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8800" cy="1663200"/>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68"/>
      </w:tblGrid>
      <w:tr w:rsidR="0031006B" w:rsidRPr="0031006B" w:rsidTr="005F4067">
        <w:trPr>
          <w:trHeight w:val="2545"/>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C46981" w:rsidRDefault="00AC2BB8" w:rsidP="00D77E95">
                        <w:pPr>
                          <w:spacing w:before="100" w:beforeAutospacing="1" w:after="100" w:afterAutospacing="1" w:line="240" w:lineRule="auto"/>
                          <w:jc w:val="center"/>
                          <w:rPr>
                            <w:rFonts w:ascii="Georgia" w:eastAsia="Times New Roman" w:hAnsi="Georgia" w:cs="Arial"/>
                            <w:color w:val="000000"/>
                            <w:sz w:val="20"/>
                            <w:szCs w:val="20"/>
                          </w:rPr>
                        </w:pPr>
                        <w:r w:rsidRPr="00C46981">
                          <w:rPr>
                            <w:rFonts w:ascii="Georgia" w:eastAsia="Times New Roman" w:hAnsi="Georgia" w:cs="Arial"/>
                            <w:color w:val="000000"/>
                            <w:sz w:val="20"/>
                            <w:szCs w:val="20"/>
                          </w:rPr>
                          <w:t>The</w:t>
                        </w:r>
                        <w:r w:rsidR="0031006B" w:rsidRPr="00C46981">
                          <w:rPr>
                            <w:rFonts w:ascii="Georgia" w:eastAsia="Times New Roman" w:hAnsi="Georgia" w:cs="Arial"/>
                            <w:color w:val="000000"/>
                            <w:sz w:val="20"/>
                            <w:szCs w:val="20"/>
                          </w:rPr>
                          <w:t xml:space="preserve"> </w:t>
                        </w:r>
                        <w:r w:rsidR="00D77E95" w:rsidRPr="00C46981">
                          <w:rPr>
                            <w:rFonts w:ascii="Georgia" w:eastAsia="Times New Roman" w:hAnsi="Georgia" w:cs="Arial"/>
                            <w:color w:val="000000"/>
                            <w:sz w:val="20"/>
                            <w:szCs w:val="20"/>
                          </w:rPr>
                          <w:t xml:space="preserve">Tourism Management Group, part of the </w:t>
                        </w:r>
                        <w:r w:rsidR="0031006B" w:rsidRPr="00C46981">
                          <w:rPr>
                            <w:rFonts w:ascii="Georgia" w:eastAsia="Times New Roman" w:hAnsi="Georgia" w:cs="Arial"/>
                            <w:color w:val="000000"/>
                            <w:sz w:val="20"/>
                            <w:szCs w:val="20"/>
                          </w:rPr>
                          <w:t>School of Management, Victoria Business School, invites you to attend</w:t>
                        </w:r>
                        <w:r w:rsidR="009C27DD" w:rsidRPr="00C46981">
                          <w:rPr>
                            <w:rFonts w:ascii="Georgia" w:eastAsia="Times New Roman" w:hAnsi="Georgia" w:cs="Arial"/>
                            <w:color w:val="000000"/>
                            <w:sz w:val="20"/>
                            <w:szCs w:val="20"/>
                          </w:rPr>
                          <w:t xml:space="preserve"> the following</w:t>
                        </w:r>
                        <w:r w:rsidRPr="00C46981">
                          <w:rPr>
                            <w:rFonts w:ascii="Georgia" w:eastAsia="Times New Roman" w:hAnsi="Georgia" w:cs="Arial"/>
                            <w:color w:val="000000"/>
                            <w:sz w:val="20"/>
                            <w:szCs w:val="20"/>
                          </w:rPr>
                          <w:t xml:space="preserve"> </w:t>
                        </w:r>
                        <w:r w:rsidR="00D77E95" w:rsidRPr="00C46981">
                          <w:rPr>
                            <w:rFonts w:ascii="Georgia" w:eastAsia="Times New Roman" w:hAnsi="Georgia" w:cs="Arial"/>
                            <w:color w:val="000000"/>
                            <w:sz w:val="20"/>
                            <w:szCs w:val="20"/>
                          </w:rPr>
                          <w:t>s</w:t>
                        </w:r>
                        <w:r w:rsidRPr="00C46981">
                          <w:rPr>
                            <w:rFonts w:ascii="Georgia" w:eastAsia="Times New Roman" w:hAnsi="Georgia" w:cs="Arial"/>
                            <w:color w:val="000000"/>
                            <w:sz w:val="20"/>
                            <w:szCs w:val="20"/>
                          </w:rPr>
                          <w:t>eminar</w:t>
                        </w:r>
                        <w:r w:rsidR="0031006B" w:rsidRPr="00C46981">
                          <w:rPr>
                            <w:rFonts w:ascii="Georgia" w:eastAsia="Times New Roman" w:hAnsi="Georgia" w:cs="Arial"/>
                            <w:color w:val="000000"/>
                            <w:sz w:val="20"/>
                            <w:szCs w:val="20"/>
                          </w:rPr>
                          <w:t>:</w:t>
                        </w:r>
                      </w:p>
                    </w:tc>
                  </w:tr>
                  <w:tr w:rsidR="0031006B" w:rsidRPr="0031006B" w:rsidTr="008211EB">
                    <w:trPr>
                      <w:gridAfter w:val="1"/>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2"/>
                        <w:vAlign w:val="center"/>
                        <w:hideMark/>
                      </w:tcPr>
                      <w:p w:rsidR="004128FF" w:rsidRPr="005F4067" w:rsidRDefault="00C46981" w:rsidP="001A0A02">
                        <w:pPr>
                          <w:spacing w:after="375" w:line="240" w:lineRule="auto"/>
                          <w:jc w:val="center"/>
                          <w:rPr>
                            <w:rFonts w:ascii="Georgia" w:eastAsia="Times New Roman" w:hAnsi="Georgia" w:cs="Arial"/>
                            <w:color w:val="960000"/>
                            <w:sz w:val="40"/>
                            <w:szCs w:val="40"/>
                          </w:rPr>
                        </w:pPr>
                        <w:r w:rsidRPr="005F4067">
                          <w:rPr>
                            <w:rFonts w:ascii="Georgia" w:eastAsia="Times New Roman" w:hAnsi="Georgia" w:cs="Arial"/>
                            <w:b/>
                            <w:bCs/>
                            <w:color w:val="960000"/>
                            <w:sz w:val="40"/>
                            <w:szCs w:val="40"/>
                          </w:rPr>
                          <w:t xml:space="preserve">The agony and ecstasy of operating NZ’s first integrated regional development agency </w:t>
                        </w:r>
                        <w:r w:rsidRPr="005F4067">
                          <w:rPr>
                            <w:rFonts w:ascii="Georgia" w:eastAsia="Times New Roman" w:hAnsi="Georgia" w:cs="Arial"/>
                            <w:color w:val="960000"/>
                            <w:sz w:val="40"/>
                            <w:szCs w:val="40"/>
                          </w:rPr>
                          <w:t xml:space="preserve"> </w:t>
                        </w:r>
                      </w:p>
                    </w:tc>
                  </w:tr>
                  <w:tr w:rsidR="0031006B" w:rsidRPr="0031006B" w:rsidTr="008211EB">
                    <w:trPr>
                      <w:trHeight w:val="77"/>
                    </w:trPr>
                    <w:tc>
                      <w:tcPr>
                        <w:tcW w:w="9915" w:type="dxa"/>
                        <w:gridSpan w:val="2"/>
                        <w:vAlign w:val="center"/>
                        <w:hideMark/>
                      </w:tcPr>
                      <w:p w:rsidR="00AC2BB8" w:rsidRPr="00AC2BB8" w:rsidRDefault="00AC2BB8" w:rsidP="00AC2BB8">
                        <w:pPr>
                          <w:spacing w:after="0" w:line="240" w:lineRule="auto"/>
                          <w:jc w:val="center"/>
                          <w:rPr>
                            <w:rFonts w:ascii="Arial" w:eastAsia="Times New Roman" w:hAnsi="Arial" w:cs="Arial"/>
                            <w:sz w:val="28"/>
                            <w:szCs w:val="28"/>
                          </w:rPr>
                        </w:pPr>
                        <w:r w:rsidRPr="00AC2BB8">
                          <w:rPr>
                            <w:rFonts w:ascii="Arial" w:eastAsia="Times New Roman" w:hAnsi="Arial" w:cs="Arial"/>
                            <w:sz w:val="28"/>
                            <w:szCs w:val="28"/>
                          </w:rPr>
                          <w:t xml:space="preserve">Presenter: </w:t>
                        </w:r>
                        <w:r w:rsidR="00C46981" w:rsidRPr="00C46981">
                          <w:rPr>
                            <w:rFonts w:ascii="Arial" w:eastAsia="Times New Roman" w:hAnsi="Arial" w:cs="Arial"/>
                            <w:sz w:val="28"/>
                            <w:szCs w:val="28"/>
                          </w:rPr>
                          <w:t>Stuart Trundle, CEO of the Venture Taranaki Trust</w:t>
                        </w:r>
                      </w:p>
                      <w:p w:rsidR="00AC2BB8" w:rsidRDefault="00AC2BB8" w:rsidP="00AC2BB8">
                        <w:pPr>
                          <w:spacing w:after="0" w:line="240" w:lineRule="auto"/>
                          <w:rPr>
                            <w:rFonts w:ascii="Arial" w:eastAsia="Times New Roman" w:hAnsi="Arial" w:cs="Arial"/>
                            <w:sz w:val="24"/>
                            <w:szCs w:val="24"/>
                          </w:rPr>
                        </w:pPr>
                      </w:p>
                      <w:p w:rsidR="00AC2BB8" w:rsidRPr="00C46981" w:rsidRDefault="00AC2BB8" w:rsidP="00AC2BB8">
                        <w:pPr>
                          <w:spacing w:after="0" w:line="240" w:lineRule="auto"/>
                          <w:jc w:val="center"/>
                          <w:rPr>
                            <w:rFonts w:ascii="Arial" w:eastAsia="Times New Roman" w:hAnsi="Arial" w:cs="Arial"/>
                            <w:b/>
                            <w:color w:val="2F5496" w:themeColor="accent5" w:themeShade="BF"/>
                            <w:sz w:val="32"/>
                            <w:szCs w:val="32"/>
                          </w:rPr>
                        </w:pPr>
                        <w:r w:rsidRPr="00C46981">
                          <w:rPr>
                            <w:rFonts w:ascii="Arial" w:eastAsia="Times New Roman" w:hAnsi="Arial" w:cs="Arial"/>
                            <w:b/>
                            <w:color w:val="2F5496" w:themeColor="accent5" w:themeShade="BF"/>
                            <w:sz w:val="32"/>
                            <w:szCs w:val="32"/>
                          </w:rPr>
                          <w:t xml:space="preserve">Wednesday </w:t>
                        </w:r>
                        <w:r w:rsidR="00C0501C" w:rsidRPr="00C46981">
                          <w:rPr>
                            <w:rFonts w:ascii="Arial" w:eastAsia="Times New Roman" w:hAnsi="Arial" w:cs="Arial"/>
                            <w:b/>
                            <w:color w:val="2F5496" w:themeColor="accent5" w:themeShade="BF"/>
                            <w:sz w:val="32"/>
                            <w:szCs w:val="32"/>
                          </w:rPr>
                          <w:t>9</w:t>
                        </w:r>
                        <w:r w:rsidR="00C0501C" w:rsidRPr="00C46981">
                          <w:rPr>
                            <w:rFonts w:ascii="Arial" w:eastAsia="Times New Roman" w:hAnsi="Arial" w:cs="Arial"/>
                            <w:b/>
                            <w:color w:val="2F5496" w:themeColor="accent5" w:themeShade="BF"/>
                            <w:sz w:val="32"/>
                            <w:szCs w:val="32"/>
                            <w:vertAlign w:val="superscript"/>
                          </w:rPr>
                          <w:t>th</w:t>
                        </w:r>
                        <w:r w:rsidR="00C0501C" w:rsidRPr="00C46981">
                          <w:rPr>
                            <w:rFonts w:ascii="Arial" w:eastAsia="Times New Roman" w:hAnsi="Arial" w:cs="Arial"/>
                            <w:b/>
                            <w:color w:val="2F5496" w:themeColor="accent5" w:themeShade="BF"/>
                            <w:sz w:val="32"/>
                            <w:szCs w:val="32"/>
                          </w:rPr>
                          <w:t xml:space="preserve"> September</w:t>
                        </w:r>
                      </w:p>
                      <w:p w:rsidR="00AC2BB8" w:rsidRPr="00C46981" w:rsidRDefault="00AC2BB8" w:rsidP="00AC2BB8">
                        <w:pPr>
                          <w:spacing w:after="0" w:line="240" w:lineRule="auto"/>
                          <w:jc w:val="center"/>
                          <w:rPr>
                            <w:rFonts w:ascii="Arial" w:eastAsia="Times New Roman" w:hAnsi="Arial" w:cs="Arial"/>
                            <w:b/>
                            <w:color w:val="2F5496" w:themeColor="accent5" w:themeShade="BF"/>
                            <w:sz w:val="16"/>
                            <w:szCs w:val="16"/>
                          </w:rPr>
                        </w:pPr>
                      </w:p>
                      <w:p w:rsidR="00AC2BB8" w:rsidRPr="00C46981" w:rsidRDefault="00AC2BB8" w:rsidP="00AC2BB8">
                        <w:pPr>
                          <w:spacing w:after="0" w:line="240" w:lineRule="auto"/>
                          <w:jc w:val="center"/>
                          <w:rPr>
                            <w:rFonts w:ascii="Arial" w:eastAsia="Times New Roman" w:hAnsi="Arial" w:cs="Arial"/>
                            <w:b/>
                            <w:color w:val="2F5496" w:themeColor="accent5" w:themeShade="BF"/>
                            <w:sz w:val="32"/>
                            <w:szCs w:val="32"/>
                          </w:rPr>
                        </w:pPr>
                        <w:r w:rsidRPr="00C46981">
                          <w:rPr>
                            <w:rFonts w:ascii="Arial" w:eastAsia="Times New Roman" w:hAnsi="Arial" w:cs="Arial"/>
                            <w:b/>
                            <w:color w:val="2F5496" w:themeColor="accent5" w:themeShade="BF"/>
                            <w:sz w:val="32"/>
                            <w:szCs w:val="32"/>
                          </w:rPr>
                          <w:t>12.30 - 1.30pm</w:t>
                        </w:r>
                      </w:p>
                      <w:p w:rsidR="00D77E95" w:rsidRPr="00C46981" w:rsidRDefault="00D77E95" w:rsidP="00AC2BB8">
                        <w:pPr>
                          <w:spacing w:after="0" w:line="240" w:lineRule="auto"/>
                          <w:jc w:val="center"/>
                          <w:rPr>
                            <w:rFonts w:ascii="Arial" w:eastAsia="Times New Roman" w:hAnsi="Arial" w:cs="Arial"/>
                            <w:b/>
                            <w:color w:val="2F5496" w:themeColor="accent5" w:themeShade="BF"/>
                            <w:sz w:val="16"/>
                            <w:szCs w:val="16"/>
                          </w:rPr>
                        </w:pPr>
                      </w:p>
                      <w:p w:rsidR="00AC2BB8" w:rsidRPr="005F4067" w:rsidRDefault="00C0501C" w:rsidP="00AC2BB8">
                        <w:pPr>
                          <w:spacing w:after="0" w:line="240" w:lineRule="auto"/>
                          <w:jc w:val="center"/>
                          <w:rPr>
                            <w:rFonts w:ascii="Arial" w:eastAsia="Times New Roman" w:hAnsi="Arial" w:cs="Arial"/>
                            <w:b/>
                            <w:color w:val="2F5496" w:themeColor="accent5" w:themeShade="BF"/>
                            <w:sz w:val="28"/>
                            <w:szCs w:val="28"/>
                          </w:rPr>
                        </w:pPr>
                        <w:r w:rsidRPr="005F4067">
                          <w:rPr>
                            <w:rFonts w:ascii="Arial" w:eastAsia="Times New Roman" w:hAnsi="Arial" w:cs="Arial"/>
                            <w:b/>
                            <w:color w:val="2F5496" w:themeColor="accent5" w:themeShade="BF"/>
                            <w:sz w:val="28"/>
                            <w:szCs w:val="28"/>
                          </w:rPr>
                          <w:t>Boardroom, Level 12, Rutherford House</w:t>
                        </w:r>
                      </w:p>
                      <w:p w:rsidR="00AC2BB8" w:rsidRPr="005F4067" w:rsidRDefault="00D77E95" w:rsidP="00AC2BB8">
                        <w:pPr>
                          <w:spacing w:after="0" w:line="240" w:lineRule="auto"/>
                          <w:jc w:val="center"/>
                          <w:rPr>
                            <w:rFonts w:ascii="Arial" w:eastAsia="Times New Roman" w:hAnsi="Arial" w:cs="Arial"/>
                            <w:b/>
                            <w:color w:val="2F5496" w:themeColor="accent5" w:themeShade="BF"/>
                            <w:sz w:val="28"/>
                            <w:szCs w:val="28"/>
                          </w:rPr>
                        </w:pPr>
                        <w:r w:rsidRPr="005F4067">
                          <w:rPr>
                            <w:rFonts w:ascii="Arial" w:eastAsia="Times New Roman" w:hAnsi="Arial" w:cs="Arial"/>
                            <w:b/>
                            <w:color w:val="2F5496" w:themeColor="accent5" w:themeShade="BF"/>
                            <w:sz w:val="28"/>
                            <w:szCs w:val="28"/>
                          </w:rPr>
                          <w:t>Pipitea Campus</w:t>
                        </w:r>
                        <w:r w:rsidR="00AC2BB8" w:rsidRPr="005F4067">
                          <w:rPr>
                            <w:rFonts w:ascii="Arial" w:eastAsia="Times New Roman" w:hAnsi="Arial" w:cs="Arial"/>
                            <w:b/>
                            <w:color w:val="2F5496" w:themeColor="accent5" w:themeShade="BF"/>
                            <w:sz w:val="28"/>
                            <w:szCs w:val="28"/>
                          </w:rPr>
                          <w:t>, Wellington</w:t>
                        </w:r>
                      </w:p>
                      <w:p w:rsidR="00AC2BB8" w:rsidRPr="00562FD8" w:rsidRDefault="00AC2BB8" w:rsidP="00AC2BB8">
                        <w:pPr>
                          <w:spacing w:after="0" w:line="240" w:lineRule="auto"/>
                          <w:jc w:val="center"/>
                          <w:rPr>
                            <w:rFonts w:ascii="Arial" w:eastAsia="Times New Roman" w:hAnsi="Arial" w:cs="Arial"/>
                            <w:b/>
                            <w:color w:val="2F5496" w:themeColor="accent5" w:themeShade="BF"/>
                            <w:sz w:val="24"/>
                            <w:szCs w:val="24"/>
                          </w:rPr>
                        </w:pPr>
                      </w:p>
                      <w:p w:rsidR="00C46981" w:rsidRPr="009F50F9" w:rsidRDefault="005F4067" w:rsidP="00C46981">
                        <w:pPr>
                          <w:rPr>
                            <w:sz w:val="24"/>
                            <w:szCs w:val="24"/>
                          </w:rPr>
                        </w:pPr>
                        <w:r w:rsidRPr="009F50F9">
                          <w:rPr>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993600" cy="1411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600" cy="1411200"/>
                                      </a:xfrm>
                                      <a:prstGeom prst="rect">
                                        <a:avLst/>
                                      </a:prstGeom>
                                      <a:noFill/>
                                    </pic:spPr>
                                  </pic:pic>
                                </a:graphicData>
                              </a:graphic>
                              <wp14:sizeRelH relativeFrom="margin">
                                <wp14:pctWidth>0</wp14:pctWidth>
                              </wp14:sizeRelH>
                              <wp14:sizeRelV relativeFrom="margin">
                                <wp14:pctHeight>0</wp14:pctHeight>
                              </wp14:sizeRelV>
                            </wp:anchor>
                          </w:drawing>
                        </w:r>
                        <w:r w:rsidR="00C46981" w:rsidRPr="009F50F9">
                          <w:rPr>
                            <w:sz w:val="24"/>
                            <w:szCs w:val="24"/>
                          </w:rPr>
                          <w:t>Stuart oversaw the formation of the first regional agency to combine the responsibilities of an economic development agency, a regional tourism organisation, a film commission and a major events attraction team.</w:t>
                        </w:r>
                      </w:p>
                      <w:p w:rsidR="00C46981" w:rsidRPr="009F50F9" w:rsidRDefault="00C46981" w:rsidP="00C46981">
                        <w:pPr>
                          <w:rPr>
                            <w:rFonts w:ascii="Arial" w:eastAsia="Times New Roman" w:hAnsi="Arial" w:cs="Arial"/>
                            <w:sz w:val="24"/>
                            <w:szCs w:val="24"/>
                          </w:rPr>
                        </w:pPr>
                        <w:r w:rsidRPr="009F50F9">
                          <w:rPr>
                            <w:sz w:val="24"/>
                            <w:szCs w:val="24"/>
                          </w:rPr>
                          <w:t>He will give personal insights of the successes and failures from his experiences directing regional and national economic strategies in the UK, Poland, Romania and Taranaki whilst managing the creative tensions of multiple funding relationships with territorial local authorities, central gov</w:t>
                        </w:r>
                        <w:r w:rsidR="00C06A37" w:rsidRPr="009F50F9">
                          <w:rPr>
                            <w:sz w:val="24"/>
                            <w:szCs w:val="24"/>
                          </w:rPr>
                          <w:t>ernment and the private sector.</w:t>
                        </w:r>
                      </w:p>
                      <w:p w:rsidR="00C0501C" w:rsidRPr="009F50F9" w:rsidRDefault="00C0501C" w:rsidP="00C0501C">
                        <w:pPr>
                          <w:spacing w:after="0" w:line="240" w:lineRule="auto"/>
                          <w:rPr>
                            <w:rFonts w:ascii="Calibri" w:eastAsia="Times New Roman" w:hAnsi="Calibri" w:cs="Arial"/>
                            <w:sz w:val="24"/>
                            <w:szCs w:val="24"/>
                          </w:rPr>
                        </w:pPr>
                        <w:r w:rsidRPr="009F50F9">
                          <w:rPr>
                            <w:rFonts w:ascii="Calibri" w:eastAsia="Times New Roman" w:hAnsi="Calibri" w:cs="Arial"/>
                            <w:sz w:val="24"/>
                            <w:szCs w:val="24"/>
                          </w:rPr>
                          <w:t xml:space="preserve">Stuart Trundle is the chief executive of Venture Taranaki Trust, the regional development agency for Taranaki regarded as one of the leading models for economic development in New Zealand. </w:t>
                        </w:r>
                      </w:p>
                      <w:p w:rsidR="00C0501C" w:rsidRPr="009F50F9" w:rsidRDefault="00C0501C" w:rsidP="00C0501C">
                        <w:pPr>
                          <w:spacing w:after="0" w:line="240" w:lineRule="auto"/>
                          <w:rPr>
                            <w:rFonts w:ascii="Calibri" w:eastAsia="Times New Roman" w:hAnsi="Calibri" w:cs="Arial"/>
                            <w:sz w:val="16"/>
                            <w:szCs w:val="16"/>
                          </w:rPr>
                        </w:pPr>
                      </w:p>
                      <w:p w:rsidR="00C0501C" w:rsidRPr="009F50F9" w:rsidRDefault="00C0501C" w:rsidP="00C0501C">
                        <w:pPr>
                          <w:spacing w:after="0" w:line="240" w:lineRule="auto"/>
                          <w:rPr>
                            <w:rFonts w:ascii="Calibri" w:eastAsia="Times New Roman" w:hAnsi="Calibri" w:cs="Arial"/>
                            <w:sz w:val="24"/>
                            <w:szCs w:val="24"/>
                          </w:rPr>
                        </w:pPr>
                        <w:r w:rsidRPr="009F50F9">
                          <w:rPr>
                            <w:rFonts w:ascii="Calibri" w:eastAsia="Times New Roman" w:hAnsi="Calibri" w:cs="Arial"/>
                            <w:sz w:val="24"/>
                            <w:szCs w:val="24"/>
                          </w:rPr>
                          <w:t>Stuart is also a board member for the Economic Development Centre at AUT, past chair of the Economic Development Association of New Zealand and a board member of the Bishop’s Action Foundation.</w:t>
                        </w:r>
                      </w:p>
                      <w:p w:rsidR="00C0501C" w:rsidRPr="005F4067" w:rsidRDefault="00C0501C" w:rsidP="00C0501C">
                        <w:pPr>
                          <w:spacing w:after="0" w:line="240" w:lineRule="auto"/>
                          <w:rPr>
                            <w:rFonts w:ascii="Calibri" w:eastAsia="Times New Roman" w:hAnsi="Calibri" w:cs="Arial"/>
                            <w:sz w:val="16"/>
                            <w:szCs w:val="16"/>
                          </w:rPr>
                        </w:pPr>
                      </w:p>
                      <w:p w:rsidR="00C0501C" w:rsidRPr="009F50F9" w:rsidRDefault="00C0501C" w:rsidP="00C0501C">
                        <w:pPr>
                          <w:spacing w:after="0" w:line="240" w:lineRule="auto"/>
                          <w:rPr>
                            <w:rFonts w:ascii="Calibri" w:eastAsia="Times New Roman" w:hAnsi="Calibri" w:cs="Arial"/>
                            <w:sz w:val="24"/>
                            <w:szCs w:val="24"/>
                          </w:rPr>
                        </w:pPr>
                        <w:r w:rsidRPr="009F50F9">
                          <w:rPr>
                            <w:rFonts w:ascii="Calibri" w:eastAsia="Times New Roman" w:hAnsi="Calibri" w:cs="Arial"/>
                            <w:sz w:val="24"/>
                            <w:szCs w:val="24"/>
                          </w:rPr>
                          <w:t xml:space="preserve">Prior to forming Venture Taranaki, Stuart was managing director of the largest Chamber of Commerce in the United Kingdom, an external examiner of the MBA programme at the University of Wolverhampton Business School and the course validator for the University of Central England’s Diploma in Management Studies. </w:t>
                        </w:r>
                      </w:p>
                      <w:p w:rsidR="00C0501C" w:rsidRPr="009F50F9" w:rsidRDefault="00C0501C" w:rsidP="00C0501C">
                        <w:pPr>
                          <w:spacing w:after="0" w:line="240" w:lineRule="auto"/>
                          <w:rPr>
                            <w:rFonts w:ascii="Arial" w:eastAsia="Times New Roman" w:hAnsi="Arial" w:cs="Arial"/>
                            <w:sz w:val="16"/>
                            <w:szCs w:val="16"/>
                          </w:rPr>
                        </w:pPr>
                      </w:p>
                      <w:p w:rsidR="00C0501C" w:rsidRPr="009F50F9" w:rsidRDefault="00C0501C" w:rsidP="00C0501C">
                        <w:pPr>
                          <w:spacing w:after="0" w:line="240" w:lineRule="auto"/>
                          <w:rPr>
                            <w:rFonts w:ascii="Arial" w:eastAsia="Times New Roman" w:hAnsi="Arial" w:cs="Arial"/>
                            <w:sz w:val="24"/>
                            <w:szCs w:val="24"/>
                          </w:rPr>
                        </w:pPr>
                        <w:r w:rsidRPr="009F50F9">
                          <w:rPr>
                            <w:rFonts w:eastAsia="Times New Roman" w:cs="Arial"/>
                            <w:sz w:val="24"/>
                            <w:szCs w:val="24"/>
                          </w:rPr>
                          <w:t>Stuart’s work in the formation of regional economic development agencies in Poland and Romania was supported by the British Government and European Commission</w:t>
                        </w:r>
                        <w:r w:rsidRPr="009F50F9">
                          <w:rPr>
                            <w:rFonts w:ascii="Arial" w:eastAsia="Times New Roman" w:hAnsi="Arial" w:cs="Arial"/>
                            <w:sz w:val="24"/>
                            <w:szCs w:val="24"/>
                          </w:rPr>
                          <w:t xml:space="preserve">.  </w:t>
                        </w:r>
                      </w:p>
                      <w:p w:rsidR="00C0501C" w:rsidRPr="009F50F9" w:rsidRDefault="00C0501C" w:rsidP="00C0501C">
                        <w:pPr>
                          <w:spacing w:after="0" w:line="240" w:lineRule="auto"/>
                          <w:rPr>
                            <w:rFonts w:ascii="Arial" w:eastAsia="Times New Roman" w:hAnsi="Arial" w:cs="Arial"/>
                            <w:sz w:val="16"/>
                            <w:szCs w:val="16"/>
                          </w:rPr>
                        </w:pPr>
                      </w:p>
                      <w:p w:rsidR="0031006B" w:rsidRPr="00C46981" w:rsidRDefault="00C0501C" w:rsidP="009F50F9">
                        <w:pPr>
                          <w:spacing w:after="0" w:line="240" w:lineRule="auto"/>
                          <w:rPr>
                            <w:rFonts w:eastAsia="Times New Roman" w:cs="Arial"/>
                            <w:sz w:val="24"/>
                            <w:szCs w:val="24"/>
                          </w:rPr>
                        </w:pPr>
                        <w:r w:rsidRPr="009F50F9">
                          <w:rPr>
                            <w:rFonts w:eastAsia="Times New Roman" w:cs="Arial"/>
                            <w:sz w:val="24"/>
                            <w:szCs w:val="24"/>
                          </w:rPr>
                          <w:t>In October 2012 Stuart was awarded the New Plymouth District Mayoral Award for Business, presented in recognition of over 14 years commitment to economic development in the region.  He is a past winner of the Vero Excellence in Bu</w:t>
                        </w:r>
                        <w:r w:rsidR="006E637F">
                          <w:rPr>
                            <w:rFonts w:eastAsia="Times New Roman" w:cs="Arial"/>
                            <w:sz w:val="24"/>
                            <w:szCs w:val="24"/>
                          </w:rPr>
                          <w:t>siness Support Award.</w:t>
                        </w:r>
                        <w:bookmarkStart w:id="0" w:name="_GoBack"/>
                        <w:bookmarkEnd w:id="0"/>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5F4067" w:rsidRDefault="00AC2BB8" w:rsidP="00AC2BB8">
            <w:pPr>
              <w:spacing w:after="0" w:line="240" w:lineRule="auto"/>
              <w:jc w:val="center"/>
              <w:rPr>
                <w:rFonts w:ascii="Calibri" w:eastAsia="Times New Roman" w:hAnsi="Calibri" w:cs="Arial"/>
              </w:rPr>
            </w:pPr>
            <w:r w:rsidRPr="005F4067">
              <w:rPr>
                <w:rFonts w:ascii="Calibri" w:eastAsia="Times New Roman" w:hAnsi="Calibri" w:cs="Arial"/>
              </w:rPr>
              <w:t xml:space="preserve">Any queries please Email: </w:t>
            </w:r>
            <w:hyperlink r:id="rId6" w:history="1">
              <w:r w:rsidRPr="005F4067">
                <w:rPr>
                  <w:rStyle w:val="Hyperlink"/>
                  <w:rFonts w:ascii="Calibri" w:eastAsia="Times New Roman" w:hAnsi="Calibri" w:cs="Arial"/>
                </w:rPr>
                <w:t>tourism@vuw.ac.nz</w:t>
              </w:r>
            </w:hyperlink>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8211EB">
      <w:pPr>
        <w:tabs>
          <w:tab w:val="left" w:pos="5655"/>
        </w:tabs>
      </w:pPr>
    </w:p>
    <w:sectPr w:rsidR="008F15C8" w:rsidRPr="0031006B" w:rsidSect="009F50F9">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1A0A02"/>
    <w:rsid w:val="0031006B"/>
    <w:rsid w:val="004128FF"/>
    <w:rsid w:val="004E01FE"/>
    <w:rsid w:val="00562FD8"/>
    <w:rsid w:val="005F4067"/>
    <w:rsid w:val="006E637F"/>
    <w:rsid w:val="00777CA8"/>
    <w:rsid w:val="007869C5"/>
    <w:rsid w:val="008211EB"/>
    <w:rsid w:val="008F15C8"/>
    <w:rsid w:val="009C27DD"/>
    <w:rsid w:val="009F50F9"/>
    <w:rsid w:val="00A95E61"/>
    <w:rsid w:val="00AC2BB8"/>
    <w:rsid w:val="00AD1C1F"/>
    <w:rsid w:val="00AE6453"/>
    <w:rsid w:val="00B8660E"/>
    <w:rsid w:val="00C0501C"/>
    <w:rsid w:val="00C06A37"/>
    <w:rsid w:val="00C26752"/>
    <w:rsid w:val="00C46981"/>
    <w:rsid w:val="00D35D6E"/>
    <w:rsid w:val="00D77E9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12510">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urism@vuw.ac.nz"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2015-08-25T23:15:00Z</cp:lastPrinted>
  <dcterms:created xsi:type="dcterms:W3CDTF">2015-08-27T22:26:00Z</dcterms:created>
  <dcterms:modified xsi:type="dcterms:W3CDTF">2015-08-27T22:26:00Z</dcterms:modified>
</cp:coreProperties>
</file>