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558499" cy="2114550"/>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0577" cy="2147461"/>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5A4972" w:rsidRDefault="00AC2BB8" w:rsidP="008368BA">
                        <w:pPr>
                          <w:spacing w:before="100" w:beforeAutospacing="1" w:after="100" w:afterAutospacing="1" w:line="240" w:lineRule="auto"/>
                          <w:jc w:val="center"/>
                          <w:rPr>
                            <w:rFonts w:ascii="Georgia" w:eastAsia="Times New Roman" w:hAnsi="Georgia" w:cs="Arial"/>
                            <w:color w:val="000000"/>
                            <w:sz w:val="28"/>
                            <w:szCs w:val="28"/>
                          </w:rPr>
                        </w:pPr>
                        <w:r w:rsidRPr="005A4972">
                          <w:rPr>
                            <w:rFonts w:ascii="Georgia" w:eastAsia="Times New Roman" w:hAnsi="Georgia" w:cs="Arial"/>
                            <w:color w:val="000000"/>
                            <w:sz w:val="28"/>
                            <w:szCs w:val="28"/>
                          </w:rPr>
                          <w:t>The</w:t>
                        </w:r>
                        <w:r w:rsidR="0031006B" w:rsidRPr="005A4972">
                          <w:rPr>
                            <w:rFonts w:ascii="Georgia" w:eastAsia="Times New Roman" w:hAnsi="Georgia" w:cs="Arial"/>
                            <w:color w:val="000000"/>
                            <w:sz w:val="28"/>
                            <w:szCs w:val="28"/>
                          </w:rPr>
                          <w:t xml:space="preserve"> </w:t>
                        </w:r>
                        <w:r w:rsidR="00D77E95" w:rsidRPr="005A4972">
                          <w:rPr>
                            <w:rFonts w:ascii="Georgia" w:eastAsia="Times New Roman" w:hAnsi="Georgia" w:cs="Arial"/>
                            <w:color w:val="000000"/>
                            <w:sz w:val="28"/>
                            <w:szCs w:val="28"/>
                          </w:rPr>
                          <w:t xml:space="preserve">Tourism Management Group, part of the </w:t>
                        </w:r>
                        <w:r w:rsidR="0031006B" w:rsidRPr="005A4972">
                          <w:rPr>
                            <w:rFonts w:ascii="Georgia" w:eastAsia="Times New Roman" w:hAnsi="Georgia" w:cs="Arial"/>
                            <w:color w:val="000000"/>
                            <w:sz w:val="28"/>
                            <w:szCs w:val="28"/>
                          </w:rPr>
                          <w:t>School of Management, Victoria Business School, invites you to attend</w:t>
                        </w:r>
                        <w:r w:rsidR="009C27DD" w:rsidRPr="005A4972">
                          <w:rPr>
                            <w:rFonts w:ascii="Georgia" w:eastAsia="Times New Roman" w:hAnsi="Georgia" w:cs="Arial"/>
                            <w:color w:val="000000"/>
                            <w:sz w:val="28"/>
                            <w:szCs w:val="28"/>
                          </w:rPr>
                          <w:t xml:space="preserve"> the following</w:t>
                        </w:r>
                        <w:r w:rsidRPr="005A4972">
                          <w:rPr>
                            <w:rFonts w:ascii="Georgia" w:eastAsia="Times New Roman" w:hAnsi="Georgia" w:cs="Arial"/>
                            <w:color w:val="000000"/>
                            <w:sz w:val="28"/>
                            <w:szCs w:val="28"/>
                          </w:rPr>
                          <w:t xml:space="preserve"> </w:t>
                        </w:r>
                        <w:r w:rsidR="00D77E95" w:rsidRPr="005A4972">
                          <w:rPr>
                            <w:rFonts w:ascii="Georgia" w:eastAsia="Times New Roman" w:hAnsi="Georgia" w:cs="Arial"/>
                            <w:color w:val="000000"/>
                            <w:sz w:val="28"/>
                            <w:szCs w:val="28"/>
                          </w:rPr>
                          <w:t>s</w:t>
                        </w:r>
                        <w:r w:rsidRPr="005A4972">
                          <w:rPr>
                            <w:rFonts w:ascii="Georgia" w:eastAsia="Times New Roman" w:hAnsi="Georgia" w:cs="Arial"/>
                            <w:color w:val="000000"/>
                            <w:sz w:val="28"/>
                            <w:szCs w:val="28"/>
                          </w:rPr>
                          <w:t>eminar</w:t>
                        </w:r>
                        <w:r w:rsidR="0031006B" w:rsidRPr="005A4972">
                          <w:rPr>
                            <w:rFonts w:ascii="Georgia" w:eastAsia="Times New Roman" w:hAnsi="Georgia" w:cs="Arial"/>
                            <w:color w:val="000000"/>
                            <w:sz w:val="28"/>
                            <w:szCs w:val="28"/>
                          </w:rPr>
                          <w:t>:</w:t>
                        </w:r>
                      </w:p>
                    </w:tc>
                  </w:tr>
                  <w:tr w:rsidR="0031006B" w:rsidRPr="0031006B" w:rsidTr="008211EB">
                    <w:trPr>
                      <w:gridAfter w:val="1"/>
                      <w:wAfter w:w="283" w:type="dxa"/>
                      <w:trHeight w:val="43"/>
                    </w:trPr>
                    <w:tc>
                      <w:tcPr>
                        <w:tcW w:w="9773" w:type="dxa"/>
                        <w:vAlign w:val="center"/>
                        <w:hideMark/>
                      </w:tcPr>
                      <w:p w:rsidR="0031006B" w:rsidRDefault="0031006B" w:rsidP="0031006B">
                        <w:pPr>
                          <w:spacing w:after="0" w:line="240" w:lineRule="auto"/>
                          <w:rPr>
                            <w:rFonts w:ascii="Georgia" w:eastAsia="Times New Roman" w:hAnsi="Georgia" w:cs="Arial"/>
                            <w:color w:val="000000"/>
                            <w:sz w:val="27"/>
                            <w:szCs w:val="27"/>
                          </w:rPr>
                        </w:pPr>
                      </w:p>
                      <w:p w:rsidR="00845932" w:rsidRPr="005A4972" w:rsidRDefault="00845932"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845932" w:rsidRPr="00845932" w:rsidRDefault="0015128E" w:rsidP="007861A2">
                        <w:pPr>
                          <w:spacing w:after="200" w:line="276" w:lineRule="auto"/>
                          <w:jc w:val="center"/>
                          <w:rPr>
                            <w:rFonts w:ascii="Arial" w:eastAsia="Times New Roman" w:hAnsi="Arial" w:cs="Arial"/>
                            <w:color w:val="000000"/>
                            <w:sz w:val="16"/>
                            <w:szCs w:val="16"/>
                            <w:lang w:val="en-US"/>
                          </w:rPr>
                        </w:pPr>
                        <w:r w:rsidRPr="007861A2">
                          <w:rPr>
                            <w:rFonts w:ascii="Arial" w:eastAsia="Calibri" w:hAnsi="Arial" w:cs="Arial"/>
                            <w:color w:val="C00000"/>
                            <w:sz w:val="68"/>
                            <w:szCs w:val="68"/>
                            <w:lang w:val="en-US" w:eastAsia="en-US"/>
                          </w:rPr>
                          <w:t>Destination Management in Chile</w:t>
                        </w:r>
                      </w:p>
                    </w:tc>
                  </w:tr>
                  <w:tr w:rsidR="0031006B" w:rsidRPr="0031006B" w:rsidTr="008211EB">
                    <w:trPr>
                      <w:trHeight w:val="77"/>
                    </w:trPr>
                    <w:tc>
                      <w:tcPr>
                        <w:tcW w:w="9915" w:type="dxa"/>
                        <w:gridSpan w:val="2"/>
                        <w:vAlign w:val="center"/>
                        <w:hideMark/>
                      </w:tcPr>
                      <w:p w:rsidR="00AC2BB8" w:rsidRPr="00845932" w:rsidRDefault="00F614D4" w:rsidP="00AC2BB8">
                        <w:pPr>
                          <w:spacing w:after="0" w:line="240" w:lineRule="auto"/>
                          <w:jc w:val="center"/>
                          <w:rPr>
                            <w:rFonts w:ascii="Arial Narrow" w:eastAsia="Times New Roman" w:hAnsi="Arial Narrow" w:cs="Arial"/>
                            <w:sz w:val="40"/>
                            <w:szCs w:val="40"/>
                          </w:rPr>
                        </w:pPr>
                        <w:r w:rsidRPr="00845932">
                          <w:rPr>
                            <w:rFonts w:ascii="Arial Narrow" w:eastAsia="Times New Roman" w:hAnsi="Arial Narrow" w:cs="Arial"/>
                            <w:b/>
                            <w:sz w:val="40"/>
                            <w:szCs w:val="40"/>
                          </w:rPr>
                          <w:t>Presenter</w:t>
                        </w:r>
                        <w:r w:rsidR="0015128E" w:rsidRPr="00845932">
                          <w:rPr>
                            <w:rFonts w:ascii="Arial Narrow" w:eastAsia="Times New Roman" w:hAnsi="Arial Narrow" w:cs="Arial"/>
                            <w:b/>
                            <w:sz w:val="40"/>
                            <w:szCs w:val="40"/>
                          </w:rPr>
                          <w:t>: Doug Pearce</w:t>
                        </w:r>
                        <w:r w:rsidR="00B236B4" w:rsidRPr="00845932">
                          <w:rPr>
                            <w:rFonts w:ascii="Arial Narrow" w:eastAsia="Times New Roman" w:hAnsi="Arial Narrow" w:cs="Arial"/>
                            <w:sz w:val="40"/>
                            <w:szCs w:val="40"/>
                          </w:rPr>
                          <w:t xml:space="preserve"> </w:t>
                        </w:r>
                        <w:r w:rsidR="00B236B4" w:rsidRPr="00845932">
                          <w:rPr>
                            <w:rFonts w:ascii="Arial Narrow" w:eastAsia="Times New Roman" w:hAnsi="Arial Narrow" w:cs="Arial"/>
                            <w:sz w:val="40"/>
                            <w:szCs w:val="40"/>
                          </w:rPr>
                          <w:br/>
                        </w:r>
                        <w:r w:rsidR="0015128E" w:rsidRPr="00845932">
                          <w:rPr>
                            <w:rFonts w:ascii="Arial Narrow" w:eastAsia="Times New Roman" w:hAnsi="Arial Narrow" w:cs="Arial"/>
                            <w:sz w:val="40"/>
                            <w:szCs w:val="40"/>
                          </w:rPr>
                          <w:t>Emeritus Professor, Victoria University of Wellington</w:t>
                        </w:r>
                      </w:p>
                      <w:p w:rsidR="00AC2BB8" w:rsidRDefault="00AC2BB8" w:rsidP="00AC2BB8">
                        <w:pPr>
                          <w:spacing w:after="0" w:line="240" w:lineRule="auto"/>
                          <w:rPr>
                            <w:rFonts w:ascii="Arial" w:eastAsia="Times New Roman" w:hAnsi="Arial" w:cs="Arial"/>
                            <w:sz w:val="24"/>
                            <w:szCs w:val="24"/>
                          </w:rPr>
                        </w:pPr>
                      </w:p>
                      <w:p w:rsidR="00845932" w:rsidRDefault="00845932" w:rsidP="00AC2BB8">
                        <w:pPr>
                          <w:spacing w:after="0" w:line="240" w:lineRule="auto"/>
                          <w:rPr>
                            <w:rFonts w:ascii="Arial" w:eastAsia="Times New Roman" w:hAnsi="Arial" w:cs="Arial"/>
                            <w:sz w:val="24"/>
                            <w:szCs w:val="24"/>
                          </w:rPr>
                        </w:pPr>
                      </w:p>
                      <w:p w:rsidR="0015128E" w:rsidRPr="00845932" w:rsidRDefault="002C66C4" w:rsidP="0015128E">
                        <w:pPr>
                          <w:spacing w:after="0" w:line="240" w:lineRule="auto"/>
                          <w:jc w:val="center"/>
                          <w:rPr>
                            <w:rFonts w:ascii="Arial Narrow" w:eastAsia="Times New Roman" w:hAnsi="Arial Narrow" w:cs="Arial"/>
                            <w:b/>
                            <w:color w:val="2F5496" w:themeColor="accent5" w:themeShade="BF"/>
                            <w:sz w:val="24"/>
                            <w:szCs w:val="24"/>
                          </w:rPr>
                        </w:pPr>
                        <w:r>
                          <w:rPr>
                            <w:rFonts w:ascii="Arial Narrow" w:eastAsia="Times New Roman" w:hAnsi="Arial Narrow" w:cs="Arial"/>
                            <w:b/>
                            <w:bCs/>
                            <w:color w:val="2F5496" w:themeColor="accent5" w:themeShade="BF"/>
                            <w:sz w:val="36"/>
                            <w:szCs w:val="36"/>
                            <w:lang w:val="en-US"/>
                          </w:rPr>
                          <w:t>Thursday 14</w:t>
                        </w:r>
                        <w:r w:rsidRPr="002C66C4">
                          <w:rPr>
                            <w:rFonts w:ascii="Arial Narrow" w:eastAsia="Times New Roman" w:hAnsi="Arial Narrow" w:cs="Arial"/>
                            <w:b/>
                            <w:bCs/>
                            <w:color w:val="2F5496" w:themeColor="accent5" w:themeShade="BF"/>
                            <w:sz w:val="36"/>
                            <w:szCs w:val="36"/>
                            <w:vertAlign w:val="superscript"/>
                            <w:lang w:val="en-US"/>
                          </w:rPr>
                          <w:t>th</w:t>
                        </w:r>
                        <w:r>
                          <w:rPr>
                            <w:rFonts w:ascii="Arial Narrow" w:eastAsia="Times New Roman" w:hAnsi="Arial Narrow" w:cs="Arial"/>
                            <w:b/>
                            <w:bCs/>
                            <w:color w:val="2F5496" w:themeColor="accent5" w:themeShade="BF"/>
                            <w:sz w:val="36"/>
                            <w:szCs w:val="36"/>
                            <w:lang w:val="en-US"/>
                          </w:rPr>
                          <w:t xml:space="preserve"> </w:t>
                        </w:r>
                        <w:bookmarkStart w:id="0" w:name="_GoBack"/>
                        <w:bookmarkEnd w:id="0"/>
                        <w:r w:rsidR="002F795F" w:rsidRPr="002F795F">
                          <w:rPr>
                            <w:rFonts w:ascii="Arial Narrow" w:eastAsia="Times New Roman" w:hAnsi="Arial Narrow" w:cs="Arial"/>
                            <w:b/>
                            <w:bCs/>
                            <w:color w:val="2F5496" w:themeColor="accent5" w:themeShade="BF"/>
                            <w:sz w:val="36"/>
                            <w:szCs w:val="36"/>
                            <w:lang w:val="en-US"/>
                          </w:rPr>
                          <w:t>April</w:t>
                        </w:r>
                        <w:r w:rsidR="002F795F" w:rsidRPr="002F795F">
                          <w:rPr>
                            <w:rFonts w:ascii="Arial Narrow" w:eastAsia="Times New Roman" w:hAnsi="Arial Narrow" w:cs="Arial"/>
                            <w:b/>
                            <w:bCs/>
                            <w:color w:val="2F5496" w:themeColor="accent5" w:themeShade="BF"/>
                            <w:sz w:val="36"/>
                            <w:szCs w:val="36"/>
                            <w:lang w:val="en-US"/>
                          </w:rPr>
                          <w:br/>
                        </w:r>
                      </w:p>
                      <w:p w:rsidR="0015128E" w:rsidRPr="00845932" w:rsidRDefault="007861A2" w:rsidP="0015128E">
                        <w:pPr>
                          <w:spacing w:after="0" w:line="240" w:lineRule="auto"/>
                          <w:jc w:val="center"/>
                          <w:rPr>
                            <w:rFonts w:ascii="Arial Narrow" w:eastAsia="Times New Roman" w:hAnsi="Arial Narrow" w:cs="Arial"/>
                            <w:b/>
                            <w:color w:val="2F5496" w:themeColor="accent5" w:themeShade="BF"/>
                            <w:sz w:val="24"/>
                            <w:szCs w:val="24"/>
                          </w:rPr>
                        </w:pPr>
                        <w:r>
                          <w:rPr>
                            <w:rFonts w:ascii="Arial Narrow" w:eastAsia="Times New Roman" w:hAnsi="Arial Narrow" w:cs="Arial"/>
                            <w:b/>
                            <w:bCs/>
                            <w:color w:val="2F5496" w:themeColor="accent5" w:themeShade="BF"/>
                            <w:sz w:val="36"/>
                            <w:szCs w:val="36"/>
                            <w:lang w:val="en-US"/>
                          </w:rPr>
                          <w:t>1.00 – 2.0</w:t>
                        </w:r>
                        <w:r w:rsidR="00185C17">
                          <w:rPr>
                            <w:rFonts w:ascii="Arial Narrow" w:eastAsia="Times New Roman" w:hAnsi="Arial Narrow" w:cs="Arial"/>
                            <w:b/>
                            <w:bCs/>
                            <w:color w:val="2F5496" w:themeColor="accent5" w:themeShade="BF"/>
                            <w:sz w:val="36"/>
                            <w:szCs w:val="36"/>
                            <w:lang w:val="en-US"/>
                          </w:rPr>
                          <w:t>0</w:t>
                        </w:r>
                        <w:r w:rsidR="0015128E" w:rsidRPr="002F795F">
                          <w:rPr>
                            <w:rFonts w:ascii="Arial Narrow" w:eastAsia="Times New Roman" w:hAnsi="Arial Narrow" w:cs="Arial"/>
                            <w:b/>
                            <w:bCs/>
                            <w:color w:val="2F5496" w:themeColor="accent5" w:themeShade="BF"/>
                            <w:sz w:val="36"/>
                            <w:szCs w:val="36"/>
                            <w:lang w:val="en-US"/>
                          </w:rPr>
                          <w:t>pm</w:t>
                        </w:r>
                        <w:r w:rsidR="002F795F" w:rsidRPr="002F795F">
                          <w:rPr>
                            <w:rFonts w:ascii="Arial Narrow" w:eastAsia="Times New Roman" w:hAnsi="Arial Narrow" w:cs="Arial"/>
                            <w:b/>
                            <w:bCs/>
                            <w:color w:val="2F5496" w:themeColor="accent5" w:themeShade="BF"/>
                            <w:sz w:val="36"/>
                            <w:szCs w:val="36"/>
                            <w:lang w:val="en-US"/>
                          </w:rPr>
                          <w:br/>
                        </w:r>
                      </w:p>
                      <w:p w:rsidR="0015128E" w:rsidRPr="002F795F" w:rsidRDefault="0015128E" w:rsidP="0015128E">
                        <w:pPr>
                          <w:spacing w:after="0" w:line="240" w:lineRule="auto"/>
                          <w:jc w:val="center"/>
                          <w:rPr>
                            <w:rFonts w:ascii="Arial Narrow" w:eastAsia="Times New Roman" w:hAnsi="Arial Narrow" w:cs="Arial"/>
                            <w:b/>
                            <w:color w:val="2F5496" w:themeColor="accent5" w:themeShade="BF"/>
                            <w:sz w:val="36"/>
                            <w:szCs w:val="36"/>
                          </w:rPr>
                        </w:pPr>
                        <w:r w:rsidRPr="002F795F">
                          <w:rPr>
                            <w:rFonts w:ascii="Arial Narrow" w:eastAsia="Times New Roman" w:hAnsi="Arial Narrow" w:cs="Arial"/>
                            <w:b/>
                            <w:bCs/>
                            <w:color w:val="2F5496" w:themeColor="accent5" w:themeShade="BF"/>
                            <w:sz w:val="36"/>
                            <w:szCs w:val="36"/>
                            <w:lang w:val="en-US"/>
                          </w:rPr>
                          <w:t>Boardroom, Level 12, Rutherford House</w:t>
                        </w:r>
                      </w:p>
                      <w:p w:rsidR="0015128E" w:rsidRPr="002F795F" w:rsidRDefault="0015128E" w:rsidP="0015128E">
                        <w:pPr>
                          <w:spacing w:after="0" w:line="240" w:lineRule="auto"/>
                          <w:jc w:val="center"/>
                          <w:rPr>
                            <w:rFonts w:ascii="Arial Narrow" w:eastAsia="Times New Roman" w:hAnsi="Arial Narrow" w:cs="Arial"/>
                            <w:b/>
                            <w:color w:val="2F5496" w:themeColor="accent5" w:themeShade="BF"/>
                            <w:sz w:val="36"/>
                            <w:szCs w:val="36"/>
                          </w:rPr>
                        </w:pPr>
                        <w:r w:rsidRPr="002F795F">
                          <w:rPr>
                            <w:rFonts w:ascii="Arial Narrow" w:eastAsia="Times New Roman" w:hAnsi="Arial Narrow" w:cs="Arial"/>
                            <w:b/>
                            <w:bCs/>
                            <w:color w:val="2F5496" w:themeColor="accent5" w:themeShade="BF"/>
                            <w:sz w:val="36"/>
                            <w:szCs w:val="36"/>
                            <w:lang w:val="en-US"/>
                          </w:rPr>
                          <w:t>Pipitea Campus, Wellington</w:t>
                        </w:r>
                      </w:p>
                      <w:p w:rsidR="00AC2BB8"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737EB1" w:rsidRDefault="00AC2BB8" w:rsidP="00AC2BB8">
                        <w:pPr>
                          <w:spacing w:after="0" w:line="240" w:lineRule="auto"/>
                          <w:rPr>
                            <w:rFonts w:ascii="Arial" w:eastAsia="Times New Roman" w:hAnsi="Arial" w:cs="Arial"/>
                            <w:sz w:val="16"/>
                            <w:szCs w:val="16"/>
                          </w:rPr>
                        </w:pPr>
                      </w:p>
                      <w:p w:rsidR="002F795F" w:rsidRPr="008368BA" w:rsidRDefault="002F795F" w:rsidP="002F795F">
                        <w:pPr>
                          <w:spacing w:after="0" w:line="240" w:lineRule="auto"/>
                          <w:rPr>
                            <w:rFonts w:ascii="Arial Narrow" w:eastAsia="Times New Roman" w:hAnsi="Arial Narrow" w:cs="Arial"/>
                            <w:sz w:val="28"/>
                            <w:szCs w:val="28"/>
                          </w:rPr>
                        </w:pPr>
                        <w:r w:rsidRPr="008368BA">
                          <w:rPr>
                            <w:rFonts w:ascii="Arial Narrow" w:eastAsia="Times New Roman" w:hAnsi="Arial Narrow" w:cs="Arial"/>
                            <w:sz w:val="28"/>
                            <w:szCs w:val="28"/>
                          </w:rPr>
                          <w:t>This seminar examines the relationships between the multiple objectives, actions and actors involved in destination management in Chile based on the analysis of tourism and territorial plans for the regions of Valparaíso, Los Ríos and Aysén.  The current approach emphasizes supply-side development by many actors and multiple actions.  A model representing the Chilean approach to destination management will be presented and its implications discussed.</w:t>
                        </w:r>
                      </w:p>
                      <w:p w:rsidR="00AC2BB8" w:rsidRPr="002F795F" w:rsidRDefault="00AC2BB8" w:rsidP="00AC2BB8">
                        <w:pPr>
                          <w:spacing w:after="0" w:line="240" w:lineRule="auto"/>
                          <w:rPr>
                            <w:rFonts w:ascii="Arial Narrow" w:eastAsia="Times New Roman" w:hAnsi="Arial Narrow" w:cs="Arial"/>
                            <w:sz w:val="24"/>
                            <w:szCs w:val="24"/>
                          </w:rPr>
                        </w:pPr>
                      </w:p>
                      <w:p w:rsidR="00714259" w:rsidRPr="008368BA" w:rsidRDefault="00714259" w:rsidP="00AC2BB8">
                        <w:pPr>
                          <w:spacing w:after="0" w:line="240" w:lineRule="auto"/>
                          <w:rPr>
                            <w:rFonts w:ascii="Arial Narrow" w:eastAsia="Times New Roman" w:hAnsi="Arial Narrow" w:cs="Arial"/>
                            <w:sz w:val="28"/>
                            <w:szCs w:val="28"/>
                            <w:lang w:val="en-US"/>
                          </w:rPr>
                        </w:pPr>
                        <w:r w:rsidRPr="008368BA">
                          <w:rPr>
                            <w:rFonts w:ascii="Arial Narrow" w:eastAsia="Times New Roman" w:hAnsi="Arial Narrow" w:cs="Arial"/>
                            <w:b/>
                            <w:sz w:val="28"/>
                            <w:szCs w:val="28"/>
                            <w:lang w:val="en-US"/>
                          </w:rPr>
                          <w:t>About the presenter</w:t>
                        </w:r>
                        <w:r w:rsidRPr="008368BA">
                          <w:rPr>
                            <w:rFonts w:ascii="Arial Narrow" w:eastAsia="Times New Roman" w:hAnsi="Arial Narrow" w:cs="Arial"/>
                            <w:sz w:val="28"/>
                            <w:szCs w:val="28"/>
                            <w:lang w:val="en-US"/>
                          </w:rPr>
                          <w:t>:</w:t>
                        </w:r>
                      </w:p>
                      <w:p w:rsidR="002F795F" w:rsidRPr="008368BA" w:rsidRDefault="002F795F" w:rsidP="002F795F">
                        <w:pPr>
                          <w:spacing w:after="0" w:line="240" w:lineRule="auto"/>
                          <w:rPr>
                            <w:rFonts w:ascii="Arial Narrow" w:eastAsia="Times New Roman" w:hAnsi="Arial Narrow" w:cs="Arial"/>
                            <w:sz w:val="28"/>
                            <w:szCs w:val="28"/>
                          </w:rPr>
                        </w:pPr>
                        <w:r w:rsidRPr="008368BA">
                          <w:rPr>
                            <w:rFonts w:ascii="Arial Narrow" w:eastAsia="Times New Roman" w:hAnsi="Arial Narrow" w:cs="Arial"/>
                            <w:bCs/>
                            <w:sz w:val="28"/>
                            <w:szCs w:val="28"/>
                            <w:lang w:val="en-US"/>
                          </w:rPr>
                          <w:t>After retiring as Professor of Tourism Management at Victoria in January 2015, Doug spent six months in Chile as a Visiting Professor in the Instituto de Turismo at the Universidad Austral de Chile in Valdivia.  His visit was funded by CONICYT.</w:t>
                        </w:r>
                      </w:p>
                      <w:p w:rsidR="00E43F27" w:rsidRDefault="00E43F27" w:rsidP="00AC2BB8">
                        <w:pPr>
                          <w:spacing w:after="0" w:line="240" w:lineRule="auto"/>
                          <w:rPr>
                            <w:rFonts w:ascii="Arial Narrow" w:eastAsia="Times New Roman" w:hAnsi="Arial Narrow" w:cs="Arial"/>
                          </w:rPr>
                        </w:pPr>
                      </w:p>
                      <w:p w:rsidR="008368BA" w:rsidRPr="00E43F27" w:rsidRDefault="008368BA" w:rsidP="00AC2BB8">
                        <w:pPr>
                          <w:spacing w:after="0" w:line="240" w:lineRule="auto"/>
                          <w:rPr>
                            <w:rFonts w:ascii="Arial Narrow" w:eastAsia="Times New Roman" w:hAnsi="Arial Narrow" w:cs="Arial"/>
                          </w:rPr>
                        </w:pPr>
                      </w:p>
                      <w:p w:rsidR="00C364EE" w:rsidRPr="00A23ABF" w:rsidRDefault="0011634D" w:rsidP="00187C3A">
                        <w:pPr>
                          <w:spacing w:after="0" w:line="240" w:lineRule="auto"/>
                          <w:jc w:val="center"/>
                          <w:rPr>
                            <w:rFonts w:ascii="Arial" w:eastAsia="Times New Roman" w:hAnsi="Arial" w:cs="Arial"/>
                            <w:b/>
                            <w:sz w:val="28"/>
                            <w:szCs w:val="28"/>
                          </w:rPr>
                        </w:pPr>
                        <w:r w:rsidRPr="00A23ABF">
                          <w:rPr>
                            <w:rFonts w:ascii="Arial" w:eastAsia="Times New Roman" w:hAnsi="Arial" w:cs="Arial"/>
                            <w:b/>
                            <w:sz w:val="28"/>
                            <w:szCs w:val="28"/>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A23ABF" w:rsidRDefault="00AC2BB8" w:rsidP="00187C3A">
            <w:pPr>
              <w:spacing w:after="0" w:line="240" w:lineRule="auto"/>
              <w:jc w:val="center"/>
              <w:rPr>
                <w:rFonts w:ascii="Arial" w:eastAsia="Times New Roman" w:hAnsi="Arial" w:cs="Arial"/>
                <w:sz w:val="28"/>
                <w:szCs w:val="28"/>
              </w:rPr>
            </w:pPr>
            <w:r w:rsidRPr="00A23ABF">
              <w:rPr>
                <w:rFonts w:ascii="Arial" w:eastAsia="Times New Roman" w:hAnsi="Arial" w:cs="Arial"/>
                <w:sz w:val="28"/>
                <w:szCs w:val="28"/>
              </w:rPr>
              <w:t xml:space="preserve">Any queries please Email: </w:t>
            </w:r>
            <w:hyperlink r:id="rId7" w:history="1">
              <w:r w:rsidRPr="00A23ABF">
                <w:rPr>
                  <w:rStyle w:val="Hyperlink"/>
                  <w:rFonts w:ascii="Arial" w:eastAsia="Times New Roman" w:hAnsi="Arial" w:cs="Arial"/>
                  <w:sz w:val="28"/>
                  <w:szCs w:val="28"/>
                </w:rPr>
                <w:t>tourism@vuw.ac.nz</w:t>
              </w:r>
            </w:hyperlink>
          </w:p>
        </w:tc>
      </w:tr>
      <w:tr w:rsidR="0031006B" w:rsidRPr="0031006B" w:rsidTr="00D77E95">
        <w:trPr>
          <w:trHeight w:val="41"/>
        </w:trPr>
        <w:tc>
          <w:tcPr>
            <w:tcW w:w="10054" w:type="dxa"/>
            <w:vAlign w:val="center"/>
          </w:tcPr>
          <w:p w:rsidR="0031006B" w:rsidRPr="0031006B" w:rsidRDefault="00C47EA2" w:rsidP="0031006B">
            <w:pPr>
              <w:spacing w:after="0" w:line="240" w:lineRule="auto"/>
              <w:rPr>
                <w:rFonts w:ascii="Arial" w:eastAsia="Times New Roman" w:hAnsi="Arial" w:cs="Arial"/>
                <w:sz w:val="24"/>
                <w:szCs w:val="24"/>
              </w:rPr>
            </w:pPr>
            <w:r>
              <w:rPr>
                <w:rFonts w:ascii="Arial" w:eastAsia="Times New Roman" w:hAnsi="Arial" w:cs="Arial"/>
                <w:sz w:val="24"/>
                <w:szCs w:val="24"/>
              </w:rPr>
              <w:br/>
            </w:r>
          </w:p>
        </w:tc>
      </w:tr>
    </w:tbl>
    <w:p w:rsidR="008F15C8" w:rsidRPr="0031006B" w:rsidRDefault="008F15C8" w:rsidP="00187C3A">
      <w:pPr>
        <w:tabs>
          <w:tab w:val="left" w:pos="5655"/>
        </w:tabs>
        <w:spacing w:after="0"/>
      </w:pPr>
    </w:p>
    <w:sectPr w:rsidR="008F15C8" w:rsidRPr="0031006B" w:rsidSect="00AC2BB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F3BCA"/>
    <w:rsid w:val="0011634D"/>
    <w:rsid w:val="0015128E"/>
    <w:rsid w:val="00185C17"/>
    <w:rsid w:val="00187C3A"/>
    <w:rsid w:val="001A0A02"/>
    <w:rsid w:val="002B2A97"/>
    <w:rsid w:val="002C66C4"/>
    <w:rsid w:val="002F795F"/>
    <w:rsid w:val="0031006B"/>
    <w:rsid w:val="004128FF"/>
    <w:rsid w:val="004E01FE"/>
    <w:rsid w:val="005A4972"/>
    <w:rsid w:val="006B462C"/>
    <w:rsid w:val="00714259"/>
    <w:rsid w:val="00737EB1"/>
    <w:rsid w:val="00777CA8"/>
    <w:rsid w:val="007861A2"/>
    <w:rsid w:val="007869C5"/>
    <w:rsid w:val="008211EB"/>
    <w:rsid w:val="008368BA"/>
    <w:rsid w:val="00845932"/>
    <w:rsid w:val="008F15C8"/>
    <w:rsid w:val="009A6EA6"/>
    <w:rsid w:val="009C27DD"/>
    <w:rsid w:val="00A23ABF"/>
    <w:rsid w:val="00A95E61"/>
    <w:rsid w:val="00AC2BB8"/>
    <w:rsid w:val="00B236B4"/>
    <w:rsid w:val="00BC4C2F"/>
    <w:rsid w:val="00C364EE"/>
    <w:rsid w:val="00C47EA2"/>
    <w:rsid w:val="00D35D6E"/>
    <w:rsid w:val="00D77E95"/>
    <w:rsid w:val="00E021F6"/>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3</cp:revision>
  <cp:lastPrinted>2016-04-04T23:23:00Z</cp:lastPrinted>
  <dcterms:created xsi:type="dcterms:W3CDTF">2016-04-04T23:24:00Z</dcterms:created>
  <dcterms:modified xsi:type="dcterms:W3CDTF">2016-04-05T00:43:00Z</dcterms:modified>
</cp:coreProperties>
</file>